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035C8" w14:textId="7B2E547F" w:rsidR="000755D9" w:rsidRDefault="00A12E22" w:rsidP="00A12E22">
      <w:pPr>
        <w:jc w:val="center"/>
        <w:rPr>
          <w:rFonts w:ascii="Arial" w:hAnsi="Arial" w:cs="Arial"/>
          <w:sz w:val="24"/>
          <w:szCs w:val="24"/>
        </w:rPr>
      </w:pPr>
      <w:r w:rsidRPr="00A12E22">
        <w:rPr>
          <w:rFonts w:ascii="Arial" w:hAnsi="Arial" w:cs="Arial"/>
          <w:sz w:val="24"/>
          <w:szCs w:val="24"/>
        </w:rPr>
        <w:t>Wykaz Standardów Technicznych i Norm Zakładowych</w:t>
      </w:r>
    </w:p>
    <w:p w14:paraId="3B6C7B8E" w14:textId="4BCCD452" w:rsidR="00A12E22" w:rsidRDefault="00A12E22" w:rsidP="0096164D">
      <w:pPr>
        <w:jc w:val="both"/>
        <w:rPr>
          <w:sz w:val="24"/>
          <w:szCs w:val="24"/>
        </w:rPr>
      </w:pPr>
    </w:p>
    <w:p w14:paraId="7E20A903" w14:textId="77777777" w:rsidR="00A12E22" w:rsidRPr="003A6147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Sieci gazowe. Strefy Zagrożenia Wybuchem. Ocena i Wyznaczanie (ST-IGG-0401:2015)</w:t>
      </w:r>
    </w:p>
    <w:p w14:paraId="4600E2C8" w14:textId="16D188E3" w:rsidR="00A12E22" w:rsidRPr="003A6147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 xml:space="preserve">Gazociągi. Oznakowanie trasy gazociągów. Wymagania ogólne </w:t>
      </w:r>
      <w:r w:rsidR="00D70967" w:rsidRPr="003A6147">
        <w:rPr>
          <w:rFonts w:ascii="Arial" w:hAnsi="Arial" w:cs="Arial"/>
          <w:sz w:val="20"/>
          <w:szCs w:val="20"/>
        </w:rPr>
        <w:t xml:space="preserve">(ST-IGG-1001:2023 lub </w:t>
      </w:r>
      <w:r w:rsidRPr="003A6147">
        <w:rPr>
          <w:rFonts w:ascii="Arial" w:hAnsi="Arial" w:cs="Arial"/>
          <w:sz w:val="20"/>
          <w:szCs w:val="20"/>
        </w:rPr>
        <w:t>ST-IGG-1001:2015)</w:t>
      </w:r>
    </w:p>
    <w:p w14:paraId="2B08F4E4" w14:textId="2046C92C" w:rsidR="00A12E22" w:rsidRPr="003A6147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Gazociągi. Oznakowanie ostrzegające i lokalizacyjne. Wymagania i badania (ST-IGG-1002:20</w:t>
      </w:r>
      <w:r w:rsidR="00D70967" w:rsidRPr="003A6147">
        <w:rPr>
          <w:rFonts w:ascii="Arial" w:hAnsi="Arial" w:cs="Arial"/>
          <w:sz w:val="20"/>
          <w:szCs w:val="20"/>
        </w:rPr>
        <w:t>23</w:t>
      </w:r>
      <w:r w:rsidRPr="003A6147">
        <w:rPr>
          <w:rFonts w:ascii="Arial" w:hAnsi="Arial" w:cs="Arial"/>
          <w:sz w:val="20"/>
          <w:szCs w:val="20"/>
        </w:rPr>
        <w:t>)</w:t>
      </w:r>
    </w:p>
    <w:p w14:paraId="11A78754" w14:textId="12822D91" w:rsidR="00A12E22" w:rsidRPr="003A6147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 xml:space="preserve">Gazociągi. Słupki </w:t>
      </w:r>
      <w:proofErr w:type="spellStart"/>
      <w:r w:rsidRPr="003A6147">
        <w:rPr>
          <w:rFonts w:ascii="Arial" w:hAnsi="Arial" w:cs="Arial"/>
          <w:sz w:val="20"/>
          <w:szCs w:val="20"/>
        </w:rPr>
        <w:t>oznaczeniowe</w:t>
      </w:r>
      <w:proofErr w:type="spellEnd"/>
      <w:r w:rsidRPr="003A6147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3A6147">
        <w:rPr>
          <w:rFonts w:ascii="Arial" w:hAnsi="Arial" w:cs="Arial"/>
          <w:sz w:val="20"/>
          <w:szCs w:val="20"/>
        </w:rPr>
        <w:t>oznaczeniowo</w:t>
      </w:r>
      <w:proofErr w:type="spellEnd"/>
      <w:r w:rsidRPr="003A6147">
        <w:rPr>
          <w:rFonts w:ascii="Arial" w:hAnsi="Arial" w:cs="Arial"/>
          <w:sz w:val="20"/>
          <w:szCs w:val="20"/>
        </w:rPr>
        <w:t>-pomiarowe. Wymagania i badania (ST-IGG-1003:20</w:t>
      </w:r>
      <w:r w:rsidR="00D70967" w:rsidRPr="003A6147">
        <w:rPr>
          <w:rFonts w:ascii="Arial" w:hAnsi="Arial" w:cs="Arial"/>
          <w:sz w:val="20"/>
          <w:szCs w:val="20"/>
        </w:rPr>
        <w:t>23</w:t>
      </w:r>
      <w:r w:rsidRPr="003A6147">
        <w:rPr>
          <w:rFonts w:ascii="Arial" w:hAnsi="Arial" w:cs="Arial"/>
          <w:sz w:val="20"/>
          <w:szCs w:val="20"/>
        </w:rPr>
        <w:t>)</w:t>
      </w:r>
    </w:p>
    <w:p w14:paraId="62FF5357" w14:textId="745E6E16" w:rsidR="00A12E22" w:rsidRPr="003A6147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Gazociągi. Tablice orientacyjne. Wymagania i badania (ST-IGG-1004:20</w:t>
      </w:r>
      <w:r w:rsidR="00D70967" w:rsidRPr="003A6147">
        <w:rPr>
          <w:rFonts w:ascii="Arial" w:hAnsi="Arial" w:cs="Arial"/>
          <w:sz w:val="20"/>
          <w:szCs w:val="20"/>
        </w:rPr>
        <w:t>23</w:t>
      </w:r>
      <w:r w:rsidRPr="003A6147">
        <w:rPr>
          <w:rFonts w:ascii="Arial" w:hAnsi="Arial" w:cs="Arial"/>
          <w:sz w:val="20"/>
          <w:szCs w:val="20"/>
        </w:rPr>
        <w:t>)</w:t>
      </w:r>
    </w:p>
    <w:p w14:paraId="3B12E00E" w14:textId="2AB62870" w:rsidR="00D70967" w:rsidRPr="00634FBF" w:rsidRDefault="00D70967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 xml:space="preserve">Stacje gazowe w przesyle i dystrybucji dla ciśnień wyjściowych do 10 </w:t>
      </w:r>
      <w:proofErr w:type="spellStart"/>
      <w:r w:rsidRPr="00634FBF">
        <w:rPr>
          <w:rFonts w:ascii="Arial" w:hAnsi="Arial" w:cs="Arial"/>
          <w:sz w:val="20"/>
          <w:szCs w:val="20"/>
        </w:rPr>
        <w:t>MPa</w:t>
      </w:r>
      <w:proofErr w:type="spellEnd"/>
      <w:r w:rsidRPr="00634FBF">
        <w:rPr>
          <w:rFonts w:ascii="Arial" w:hAnsi="Arial" w:cs="Arial"/>
          <w:sz w:val="20"/>
          <w:szCs w:val="20"/>
        </w:rPr>
        <w:t xml:space="preserve"> włącznie. Wymagania w zakresie projektowania, budowy oraz przekazania do użytkowania (ST-IGG-0501:2023)</w:t>
      </w:r>
    </w:p>
    <w:p w14:paraId="3559476B" w14:textId="56951EC7" w:rsidR="00D70967" w:rsidRPr="00634FBF" w:rsidRDefault="00D70967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Filtry do stosowania na sieciach gazowych (ST-IGG-1501:2015)</w:t>
      </w:r>
    </w:p>
    <w:p w14:paraId="782D28CA" w14:textId="0A140081" w:rsidR="00A12E22" w:rsidRPr="00634FBF" w:rsidRDefault="003C5FCF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 xml:space="preserve">Połączenia PE/stal, elementy do włączeń oraz elementy do przyłączeń dla rurociągów paliwa gazowego </w:t>
      </w:r>
      <w:r w:rsidR="00A12E22" w:rsidRPr="00634FBF">
        <w:rPr>
          <w:rFonts w:ascii="Arial" w:hAnsi="Arial" w:cs="Arial"/>
          <w:sz w:val="20"/>
          <w:szCs w:val="20"/>
        </w:rPr>
        <w:t>(ST-IGG-1101:20</w:t>
      </w:r>
      <w:r w:rsidRPr="00634FBF">
        <w:rPr>
          <w:rFonts w:ascii="Arial" w:hAnsi="Arial" w:cs="Arial"/>
          <w:sz w:val="20"/>
          <w:szCs w:val="20"/>
        </w:rPr>
        <w:t>25</w:t>
      </w:r>
      <w:r w:rsidR="00A12E22" w:rsidRPr="00634FBF">
        <w:rPr>
          <w:rFonts w:ascii="Arial" w:hAnsi="Arial" w:cs="Arial"/>
          <w:sz w:val="20"/>
          <w:szCs w:val="20"/>
        </w:rPr>
        <w:t>)</w:t>
      </w:r>
    </w:p>
    <w:p w14:paraId="7782B4B5" w14:textId="77777777" w:rsidR="00A12E22" w:rsidRPr="00634FBF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Metoda próżniowa. Odpowietrzenie i napełnienie gazem ziemnym sieci gazowej (ST-IGG-1201:2014)</w:t>
      </w:r>
    </w:p>
    <w:p w14:paraId="6C5B702C" w14:textId="77777777" w:rsidR="00A12E22" w:rsidRPr="00634FBF" w:rsidRDefault="00A12E22" w:rsidP="0096164D">
      <w:pPr>
        <w:numPr>
          <w:ilvl w:val="3"/>
          <w:numId w:val="2"/>
        </w:numPr>
        <w:spacing w:before="100" w:beforeAutospacing="1" w:after="100" w:afterAutospacing="1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Metoda próżniowa. Odpowietrzenie i napełnienie gazem ziemnym instalacji gazowej. Kontrolna próba szczelności (ST-IGG-1202:2014)</w:t>
      </w:r>
    </w:p>
    <w:p w14:paraId="2A809FB2" w14:textId="77777777" w:rsidR="00C14FF6" w:rsidRPr="00634FBF" w:rsidRDefault="00C14FF6" w:rsidP="0096164D">
      <w:pPr>
        <w:numPr>
          <w:ilvl w:val="3"/>
          <w:numId w:val="2"/>
        </w:numPr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 xml:space="preserve">Stacje gazowe w przesyle i dystrybucji dla ciśnień wejściowych do 10 </w:t>
      </w:r>
      <w:proofErr w:type="spellStart"/>
      <w:r w:rsidRPr="00634FBF">
        <w:rPr>
          <w:rFonts w:ascii="Arial" w:hAnsi="Arial" w:cs="Arial"/>
          <w:sz w:val="20"/>
          <w:szCs w:val="20"/>
        </w:rPr>
        <w:t>MPa</w:t>
      </w:r>
      <w:proofErr w:type="spellEnd"/>
      <w:r w:rsidRPr="00634FBF">
        <w:rPr>
          <w:rFonts w:ascii="Arial" w:hAnsi="Arial" w:cs="Arial"/>
          <w:sz w:val="20"/>
          <w:szCs w:val="20"/>
        </w:rPr>
        <w:t xml:space="preserve"> włącznie. Wymagania w zakresie projektowania, budowy oraz przekazania do użytkowania </w:t>
      </w:r>
    </w:p>
    <w:p w14:paraId="7485BC17" w14:textId="60474DCD" w:rsidR="00C14FF6" w:rsidRPr="00634FBF" w:rsidRDefault="00C14FF6" w:rsidP="0096164D">
      <w:pPr>
        <w:spacing w:after="0" w:line="360" w:lineRule="atLeast"/>
        <w:ind w:left="1276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(ST-IGG-0501:2023)</w:t>
      </w:r>
    </w:p>
    <w:p w14:paraId="64EB8F2B" w14:textId="42FBBD89" w:rsidR="00C14FF6" w:rsidRPr="00634FBF" w:rsidRDefault="00C14FF6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Zespoły gazowe na przyłączach. Wymagania w zakresie projektowania, budowy oraz przekazania do użytkowania (ST-IGG-0502:2023)</w:t>
      </w:r>
    </w:p>
    <w:p w14:paraId="5DB00D4D" w14:textId="04E4C572" w:rsidR="00C14FF6" w:rsidRPr="00634FBF" w:rsidRDefault="0096164D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 xml:space="preserve">Stacje gazowe w przesyle i dystrybucji dla ciśnień wejściowych do 10 </w:t>
      </w:r>
      <w:proofErr w:type="spellStart"/>
      <w:r w:rsidRPr="00634FBF">
        <w:rPr>
          <w:rFonts w:ascii="Arial" w:hAnsi="Arial" w:cs="Arial"/>
          <w:sz w:val="20"/>
          <w:szCs w:val="20"/>
        </w:rPr>
        <w:t>MPa</w:t>
      </w:r>
      <w:proofErr w:type="spellEnd"/>
      <w:r w:rsidRPr="00634FBF">
        <w:rPr>
          <w:rFonts w:ascii="Arial" w:hAnsi="Arial" w:cs="Arial"/>
          <w:sz w:val="20"/>
          <w:szCs w:val="20"/>
        </w:rPr>
        <w:t xml:space="preserve"> włącznie. Wymagania w zakresie obsługi (ST-IGG-0503:2023)</w:t>
      </w:r>
    </w:p>
    <w:p w14:paraId="18F6EF0C" w14:textId="407AD841" w:rsidR="0096164D" w:rsidRPr="00634FBF" w:rsidRDefault="0096164D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Ochrona przed korozją zewnętrzną stalowych gazociągów lądowych. Wymagania funkcjonalne i zalecenia (ST-IGG-0601:2020)</w:t>
      </w:r>
    </w:p>
    <w:p w14:paraId="456C750A" w14:textId="374E0A2D" w:rsidR="0096164D" w:rsidRPr="00634FBF" w:rsidRDefault="0096164D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Ochrona przed korozją zewnętrzną stalowych gazociągów lądowych. Ochrona katodowa. Projektowanie, budowa i użytkowanie</w:t>
      </w:r>
      <w:r w:rsidRPr="00634FBF">
        <w:t xml:space="preserve"> (</w:t>
      </w:r>
      <w:r w:rsidRPr="00634FBF">
        <w:rPr>
          <w:rFonts w:ascii="Arial" w:hAnsi="Arial" w:cs="Arial"/>
          <w:sz w:val="20"/>
          <w:szCs w:val="20"/>
        </w:rPr>
        <w:t>ST-IGG-0602:2022)</w:t>
      </w:r>
    </w:p>
    <w:p w14:paraId="58789FF9" w14:textId="7E966FA8" w:rsidR="0096164D" w:rsidRPr="00634FBF" w:rsidRDefault="0096164D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Gazociągi stalowe. Obliczenia wytrzymałościowe – grubość ścianki (ST-IGG-0901:2024)</w:t>
      </w:r>
    </w:p>
    <w:p w14:paraId="663F804D" w14:textId="4040C4ED" w:rsidR="0096164D" w:rsidRDefault="0096164D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634FBF">
        <w:rPr>
          <w:rFonts w:ascii="Arial" w:hAnsi="Arial" w:cs="Arial"/>
          <w:sz w:val="20"/>
          <w:szCs w:val="20"/>
        </w:rPr>
        <w:t>Urządzenia przesyłowe. Pasy eksploatacyjne. Wymagania ogólne dotyczące wyznaczania szerokości pasa eksploatacyjnego (ZN-G-7001:2014)</w:t>
      </w:r>
    </w:p>
    <w:p w14:paraId="26484560" w14:textId="000AFBAB" w:rsidR="00C17F66" w:rsidRPr="00773708" w:rsidRDefault="00C17F66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773708">
        <w:rPr>
          <w:rFonts w:ascii="Arial" w:hAnsi="Arial" w:cs="Arial"/>
          <w:sz w:val="20"/>
          <w:szCs w:val="20"/>
        </w:rPr>
        <w:t>Budowa i eksploatacja układów pomiarowych ST-IGG 0203:2022</w:t>
      </w:r>
    </w:p>
    <w:p w14:paraId="277077C0" w14:textId="734CD1C3" w:rsidR="00580DE9" w:rsidRPr="00773708" w:rsidRDefault="00580DE9" w:rsidP="0096164D">
      <w:pPr>
        <w:pStyle w:val="Akapitzlist"/>
        <w:numPr>
          <w:ilvl w:val="3"/>
          <w:numId w:val="2"/>
        </w:numPr>
        <w:tabs>
          <w:tab w:val="clear" w:pos="2126"/>
          <w:tab w:val="num" w:pos="1276"/>
        </w:tabs>
        <w:spacing w:after="0" w:line="360" w:lineRule="atLeast"/>
        <w:ind w:left="1276" w:hanging="283"/>
        <w:jc w:val="both"/>
        <w:rPr>
          <w:rFonts w:ascii="Arial" w:hAnsi="Arial" w:cs="Arial"/>
          <w:sz w:val="20"/>
          <w:szCs w:val="20"/>
        </w:rPr>
      </w:pPr>
      <w:r w:rsidRPr="00773708">
        <w:rPr>
          <w:rFonts w:ascii="Arial" w:hAnsi="Arial" w:cs="Arial"/>
          <w:sz w:val="20"/>
          <w:szCs w:val="20"/>
        </w:rPr>
        <w:t>Przeliczniki i rejestratory T-IGG 0204:2023</w:t>
      </w:r>
    </w:p>
    <w:p w14:paraId="4B14BD51" w14:textId="77777777" w:rsidR="00C14FF6" w:rsidRPr="003A6147" w:rsidRDefault="00C14FF6" w:rsidP="00C14FF6">
      <w:pPr>
        <w:spacing w:after="0" w:line="360" w:lineRule="atLeast"/>
        <w:ind w:left="1276"/>
        <w:rPr>
          <w:rFonts w:ascii="Arial" w:hAnsi="Arial" w:cs="Arial"/>
          <w:sz w:val="20"/>
          <w:szCs w:val="20"/>
          <w:highlight w:val="yellow"/>
        </w:rPr>
      </w:pPr>
    </w:p>
    <w:p w14:paraId="708CD939" w14:textId="77777777" w:rsidR="00C14FF6" w:rsidRPr="003A6147" w:rsidRDefault="00C14FF6" w:rsidP="00C14FF6">
      <w:pPr>
        <w:spacing w:after="0" w:line="360" w:lineRule="atLeast"/>
        <w:ind w:left="1276"/>
        <w:rPr>
          <w:rFonts w:ascii="Arial" w:hAnsi="Arial" w:cs="Arial"/>
          <w:sz w:val="20"/>
          <w:szCs w:val="20"/>
          <w:highlight w:val="yellow"/>
        </w:rPr>
      </w:pPr>
    </w:p>
    <w:p w14:paraId="0AEB41E5" w14:textId="77777777" w:rsidR="00A12E22" w:rsidRPr="003A6147" w:rsidRDefault="00A12E22" w:rsidP="00A12E22">
      <w:pPr>
        <w:spacing w:after="120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oraz:</w:t>
      </w:r>
    </w:p>
    <w:p w14:paraId="7E4BB60B" w14:textId="75626218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lastRenderedPageBreak/>
        <w:t>PN-EN 1555-1: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>2021-12E</w:t>
      </w:r>
      <w:r w:rsidRPr="003A6147">
        <w:rPr>
          <w:rFonts w:ascii="Arial" w:hAnsi="Arial" w:cs="Arial"/>
          <w:sz w:val="20"/>
          <w:szCs w:val="20"/>
        </w:rPr>
        <w:t>       Systemy przewodów rurowych z tworzyw sztucznych do przesyłania paliw gazowych -- Polietylen (PE) -- Część 1: Postanowienia ogólne</w:t>
      </w:r>
    </w:p>
    <w:p w14:paraId="3993CB9E" w14:textId="75A457E0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1555-2: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 xml:space="preserve">2021-12E </w:t>
      </w:r>
      <w:r w:rsidRPr="003A6147">
        <w:rPr>
          <w:rFonts w:ascii="Arial" w:hAnsi="Arial" w:cs="Arial"/>
          <w:sz w:val="20"/>
          <w:szCs w:val="20"/>
        </w:rPr>
        <w:t>Systemy przewodów rurowych z tworzyw sztucznych do przesyłania paliw gazowych -- Polietylen (PE) -- Część 2: Rury</w:t>
      </w:r>
    </w:p>
    <w:p w14:paraId="75F73D8B" w14:textId="57D3BED8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1555-2: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>2021-12E</w:t>
      </w:r>
      <w:r w:rsidRPr="003A6147">
        <w:rPr>
          <w:rFonts w:ascii="Arial" w:hAnsi="Arial" w:cs="Arial"/>
          <w:sz w:val="20"/>
          <w:szCs w:val="20"/>
        </w:rPr>
        <w:t>      Systemy przewodów rurowych z tworzyw sztucznych do przesyłania paliw gazowych -- Polietylen (PE) -- Część 2: Rury</w:t>
      </w:r>
    </w:p>
    <w:p w14:paraId="2900F2D6" w14:textId="0503733F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1555-3+A1: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 xml:space="preserve">2021-12E </w:t>
      </w:r>
      <w:r w:rsidRPr="003A6147">
        <w:rPr>
          <w:rFonts w:ascii="Arial" w:hAnsi="Arial" w:cs="Arial"/>
          <w:sz w:val="20"/>
          <w:szCs w:val="20"/>
        </w:rPr>
        <w:t>Systemy przewodów rurowych z tworzyw sztucznych do przesyłania paliw gazowych -- Polietylen (PE) -- Część 3: Kształtki</w:t>
      </w:r>
    </w:p>
    <w:p w14:paraId="2470C09A" w14:textId="6A6FE542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1555-4: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>2021-12E</w:t>
      </w:r>
      <w:r w:rsidRPr="003A6147">
        <w:rPr>
          <w:rFonts w:ascii="Arial" w:hAnsi="Arial" w:cs="Arial"/>
          <w:sz w:val="20"/>
          <w:szCs w:val="20"/>
        </w:rPr>
        <w:t>       Systemy przewodów rurowych z tworzyw sztucznych do przesyłania paliw gazowych -- Polietylen (PE) -- Część 4: Armatura</w:t>
      </w:r>
    </w:p>
    <w:p w14:paraId="68C4A640" w14:textId="77777777" w:rsidR="00C811FE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1555-5:</w:t>
      </w:r>
      <w:r w:rsidR="00AD2F41" w:rsidRPr="003A6147">
        <w:t xml:space="preserve"> </w:t>
      </w:r>
      <w:r w:rsidR="00AD2F41" w:rsidRPr="003A6147">
        <w:rPr>
          <w:rFonts w:ascii="Arial" w:hAnsi="Arial" w:cs="Arial"/>
          <w:sz w:val="20"/>
          <w:szCs w:val="20"/>
        </w:rPr>
        <w:t>2021-12E</w:t>
      </w:r>
      <w:r w:rsidRPr="003A6147">
        <w:rPr>
          <w:rFonts w:ascii="Arial" w:hAnsi="Arial" w:cs="Arial"/>
          <w:sz w:val="20"/>
          <w:szCs w:val="20"/>
        </w:rPr>
        <w:t>     Systemy przewodów rurowych z tworzyw sztucznych do przesyłania paliw gazowych -- Polietylen (PE) -- Część 5: Przydatność systemu do stosowania</w:t>
      </w:r>
    </w:p>
    <w:p w14:paraId="1499AB04" w14:textId="47DF9E31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1983:2014-02</w:t>
      </w:r>
      <w:proofErr w:type="gramStart"/>
      <w:r w:rsidRPr="003A6147">
        <w:rPr>
          <w:rFonts w:ascii="Arial" w:hAnsi="Arial" w:cs="Arial"/>
          <w:sz w:val="20"/>
          <w:szCs w:val="20"/>
        </w:rPr>
        <w:t>E  Armatura</w:t>
      </w:r>
      <w:proofErr w:type="gramEnd"/>
      <w:r w:rsidRPr="003A6147">
        <w:rPr>
          <w:rFonts w:ascii="Arial" w:hAnsi="Arial" w:cs="Arial"/>
          <w:sz w:val="20"/>
          <w:szCs w:val="20"/>
        </w:rPr>
        <w:t xml:space="preserve"> przemysłowa -- Kurki kulowe stalowe</w:t>
      </w:r>
    </w:p>
    <w:p w14:paraId="66426E79" w14:textId="77777777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1984:2010E         Armatura przemysłowa -- Zasuwy stalowe i staliwne</w:t>
      </w:r>
    </w:p>
    <w:p w14:paraId="1D9516BD" w14:textId="77777777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12007-2:2013-02/Ap1:2014-05E    Systemy dostawy gazu -- Rurociągi o maksymalnym ciśnieniu roboczym do 16 bar włącznie -- Część 2: Szczególne zalecenia funkcjonalne dotyczące polietylenu (MOP do 10 bar włącznie)</w:t>
      </w:r>
    </w:p>
    <w:p w14:paraId="7B961105" w14:textId="77777777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12007-2:2013-02P            Infrastruktura gazowa -- Rurociągi o maksymalnym ciśnieniu roboczym do 16 bar włącznie -- Część 2: Szczegółowe wymagania funkcjonalne dotyczące polietylenu (MOP do 10 bar włącznie)</w:t>
      </w:r>
    </w:p>
    <w:p w14:paraId="4717EE24" w14:textId="77777777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13774:2013-07/Ap1:2016-10E       Armatura do instalacji dystrybucji gazu na maksymalne ciśnienie robocze mniejsze lub równe 16 bar -- Wymagania eksploatacyjne</w:t>
      </w:r>
    </w:p>
    <w:p w14:paraId="7C17C8B2" w14:textId="77777777" w:rsidR="00A12E22" w:rsidRPr="003A6147" w:rsidRDefault="00A12E22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>PN-EN 14141:2013-11E   Armatura stosowana w rurociągach do przesyłu gazu ziemnego -- Wymagania eksploatacyjne i badania</w:t>
      </w:r>
    </w:p>
    <w:p w14:paraId="377B4AE7" w14:textId="6659046F" w:rsidR="00A12E22" w:rsidRPr="003A6147" w:rsidRDefault="00935FE5" w:rsidP="00A12E22">
      <w:pPr>
        <w:numPr>
          <w:ilvl w:val="2"/>
          <w:numId w:val="3"/>
        </w:numPr>
        <w:spacing w:after="120" w:line="240" w:lineRule="auto"/>
        <w:ind w:left="1276" w:hanging="283"/>
        <w:jc w:val="both"/>
        <w:rPr>
          <w:rFonts w:ascii="Arial" w:hAnsi="Arial" w:cs="Arial"/>
          <w:sz w:val="20"/>
          <w:szCs w:val="20"/>
        </w:rPr>
      </w:pPr>
      <w:r w:rsidRPr="003A6147">
        <w:rPr>
          <w:rFonts w:ascii="Arial" w:hAnsi="Arial" w:cs="Arial"/>
          <w:sz w:val="20"/>
          <w:szCs w:val="20"/>
        </w:rPr>
        <w:t xml:space="preserve">PN-EN ISO 15761:2021-03E </w:t>
      </w:r>
      <w:r w:rsidR="00A12E22" w:rsidRPr="003A6147">
        <w:rPr>
          <w:rFonts w:ascii="Arial" w:hAnsi="Arial" w:cs="Arial"/>
          <w:sz w:val="20"/>
          <w:szCs w:val="20"/>
        </w:rPr>
        <w:t>Zasuwy stalowe, zawory kulowe i zawory zwrotne o wymiarach równych i mniejszych od DN 100 dla przemysłu naftowego i gazowniczego</w:t>
      </w:r>
    </w:p>
    <w:p w14:paraId="0BFA308C" w14:textId="77777777" w:rsidR="00A12E22" w:rsidRPr="00A12E22" w:rsidRDefault="00A12E22" w:rsidP="00A12E22">
      <w:pPr>
        <w:jc w:val="center"/>
        <w:rPr>
          <w:sz w:val="24"/>
          <w:szCs w:val="24"/>
        </w:rPr>
      </w:pPr>
    </w:p>
    <w:sectPr w:rsidR="00A12E22" w:rsidRPr="00A12E22" w:rsidSect="00A12E22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83AE3" w14:textId="77777777" w:rsidR="002407D2" w:rsidRDefault="002407D2" w:rsidP="00A12E22">
      <w:pPr>
        <w:spacing w:after="0" w:line="240" w:lineRule="auto"/>
      </w:pPr>
      <w:r>
        <w:separator/>
      </w:r>
    </w:p>
  </w:endnote>
  <w:endnote w:type="continuationSeparator" w:id="0">
    <w:p w14:paraId="225153CE" w14:textId="77777777" w:rsidR="002407D2" w:rsidRDefault="002407D2" w:rsidP="00A1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94EB" w14:textId="77777777" w:rsidR="002407D2" w:rsidRDefault="002407D2" w:rsidP="00A12E22">
      <w:pPr>
        <w:spacing w:after="0" w:line="240" w:lineRule="auto"/>
      </w:pPr>
      <w:r>
        <w:separator/>
      </w:r>
    </w:p>
  </w:footnote>
  <w:footnote w:type="continuationSeparator" w:id="0">
    <w:p w14:paraId="74DF8439" w14:textId="77777777" w:rsidR="002407D2" w:rsidRDefault="002407D2" w:rsidP="00A1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CEDE" w14:textId="214BC8F5" w:rsidR="00A12E22" w:rsidRDefault="00A12E22" w:rsidP="00A12E22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86754F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 xml:space="preserve"> do OPZ</w:t>
    </w:r>
  </w:p>
  <w:p w14:paraId="7A942A20" w14:textId="77777777" w:rsidR="00A12E22" w:rsidRDefault="00A12E22" w:rsidP="00A12E2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E5EC7"/>
    <w:multiLevelType w:val="multilevel"/>
    <w:tmpl w:val="526A396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718D6B6C"/>
    <w:multiLevelType w:val="hybridMultilevel"/>
    <w:tmpl w:val="6ACA2EEC"/>
    <w:lvl w:ilvl="0" w:tplc="956AA6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8D72C596">
      <w:start w:val="1"/>
      <w:numFmt w:val="decimal"/>
      <w:lvlText w:val="%2)"/>
      <w:lvlJc w:val="left"/>
      <w:pPr>
        <w:ind w:left="2160" w:hanging="720"/>
      </w:pPr>
    </w:lvl>
    <w:lvl w:ilvl="2" w:tplc="7D9074AE">
      <w:start w:val="1"/>
      <w:numFmt w:val="lowerLetter"/>
      <w:lvlText w:val="%3)"/>
      <w:lvlJc w:val="left"/>
      <w:pPr>
        <w:ind w:left="2700" w:hanging="36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38167563">
    <w:abstractNumId w:val="0"/>
  </w:num>
  <w:num w:numId="2" w16cid:durableId="273943175">
    <w:abstractNumId w:val="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" w16cid:durableId="989746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AA"/>
    <w:rsid w:val="000755D9"/>
    <w:rsid w:val="0013004F"/>
    <w:rsid w:val="002407D2"/>
    <w:rsid w:val="003A6147"/>
    <w:rsid w:val="003C5FCF"/>
    <w:rsid w:val="004939EC"/>
    <w:rsid w:val="00495F06"/>
    <w:rsid w:val="004A75BD"/>
    <w:rsid w:val="0056229C"/>
    <w:rsid w:val="00580DE9"/>
    <w:rsid w:val="005F6458"/>
    <w:rsid w:val="00634FBF"/>
    <w:rsid w:val="006840B9"/>
    <w:rsid w:val="007532E6"/>
    <w:rsid w:val="00773708"/>
    <w:rsid w:val="0086754F"/>
    <w:rsid w:val="008A1A80"/>
    <w:rsid w:val="00935FE5"/>
    <w:rsid w:val="0096164D"/>
    <w:rsid w:val="009B75AA"/>
    <w:rsid w:val="00A12E22"/>
    <w:rsid w:val="00AD2F41"/>
    <w:rsid w:val="00AE454B"/>
    <w:rsid w:val="00C14FF6"/>
    <w:rsid w:val="00C17F66"/>
    <w:rsid w:val="00C811FE"/>
    <w:rsid w:val="00CF3BA8"/>
    <w:rsid w:val="00D209DC"/>
    <w:rsid w:val="00D70967"/>
    <w:rsid w:val="00E71604"/>
    <w:rsid w:val="00F5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1D56F"/>
  <w15:chartTrackingRefBased/>
  <w15:docId w15:val="{6D13487B-10F4-4FBF-808D-2B34536FA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2E22"/>
  </w:style>
  <w:style w:type="paragraph" w:styleId="Stopka">
    <w:name w:val="footer"/>
    <w:basedOn w:val="Normalny"/>
    <w:link w:val="StopkaZnak"/>
    <w:uiPriority w:val="99"/>
    <w:unhideWhenUsed/>
    <w:rsid w:val="00A1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2E22"/>
  </w:style>
  <w:style w:type="numbering" w:customStyle="1" w:styleId="1ust1">
    <w:name w:val="§ 1. / ust. 1"/>
    <w:uiPriority w:val="99"/>
    <w:rsid w:val="00A12E2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4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571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Monika</dc:creator>
  <cp:keywords/>
  <dc:description/>
  <cp:lastModifiedBy>Lipińska Natalia (PSG)</cp:lastModifiedBy>
  <cp:revision>13</cp:revision>
  <dcterms:created xsi:type="dcterms:W3CDTF">2026-03-13T07:33:00Z</dcterms:created>
  <dcterms:modified xsi:type="dcterms:W3CDTF">2026-06-12T07:44:00Z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2022-04-04T07:09:40Z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e7226167-4425-4ba7-8b01-27344699609d</vt:lpwstr>
  </property>
  <property fmtid="{D5CDD505-2E9C-101B-9397-08002B2CF9AE}" pid="8" name="MSIP_Label_873bfdf7-b3d6-42a7-9f35-f649f45df770_ContentBits">
    <vt:lpwstr>0</vt:lpwstr>
  </property>
</Properties>
</file>